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margin">
              <wp:align>left</wp:align>
            </wp:positionH>
            <wp:positionV relativeFrom="page">
              <wp:posOffset>923925</wp:posOffset>
            </wp:positionV>
            <wp:extent cx="1811020" cy="815975"/>
            <wp:effectExtent b="0" l="0" r="0" t="0"/>
            <wp:wrapSquare wrapText="bothSides" distB="0" distT="0" distL="114300" distR="114300"/>
            <wp:docPr descr="Logo, company name&#10;&#10;Description automatically generated" id="6"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811020" cy="815975"/>
                    </a:xfrm>
                    <a:prstGeom prst="rect"/>
                    <a:ln/>
                  </pic:spPr>
                </pic:pic>
              </a:graphicData>
            </a:graphic>
          </wp:anchor>
        </w:drawing>
      </w:r>
      <w:r w:rsidDel="00000000" w:rsidR="00000000" w:rsidRPr="00000000">
        <w:rPr>
          <w:rtl w:val="0"/>
        </w:rPr>
        <w:tab/>
        <w:tab/>
        <w:tab/>
        <w:tab/>
        <w:tab/>
        <w:tab/>
        <w:tab/>
      </w:r>
      <w:r w:rsidDel="00000000" w:rsidR="00000000" w:rsidRPr="00000000">
        <w:rPr>
          <w:sz w:val="24"/>
          <w:szCs w:val="24"/>
          <w:rtl w:val="0"/>
        </w:rPr>
        <w:t xml:space="preserve">即时发布</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b w:val="1"/>
          <w:sz w:val="40"/>
          <w:szCs w:val="40"/>
          <w:rtl w:val="0"/>
        </w:rPr>
        <w:t xml:space="preserve">创建集团为IDAMAN CAHAYA 1项目举办封顶仪式</w:t>
      </w:r>
    </w:p>
    <w:p w:rsidR="00000000" w:rsidDel="00000000" w:rsidP="00000000" w:rsidRDefault="00000000" w:rsidRPr="00000000" w14:paraId="00000006">
      <w:pPr>
        <w:rPr>
          <w:sz w:val="40"/>
          <w:szCs w:val="40"/>
          <w:u w:val="single"/>
        </w:rPr>
      </w:pPr>
      <w:r w:rsidDel="00000000" w:rsidR="00000000" w:rsidRPr="00000000">
        <w:rPr>
          <w:sz w:val="40"/>
          <w:szCs w:val="40"/>
          <w:u w:val="single"/>
          <w:rtl w:val="0"/>
        </w:rPr>
        <w:tab/>
        <w:tab/>
        <w:tab/>
        <w:tab/>
        <w:tab/>
        <w:tab/>
        <w:tab/>
        <w:tab/>
        <w:tab/>
        <w:tab/>
        <w:tab/>
        <w:tab/>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（雪兰莪6日讯）林木生集团（LBS）旗下子公司创建集团（MGB）于今日为位于雪兰莪莎亚南U12的项目工地，Idaman Cahaya 1 (简称Cahaya 1 梦之家) 项目举行封顶仪式，并由创建集团执行主席丹斯里拿督斯里林福山太平局绅博士工程师主持封顶仪式，象征着为本次的项目结构正式竣工。</w:t>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MGB持续强调在所有建设项目中使用工业化建筑系统（ “IBS” ）的预制混凝土，Cahaya 1 梦之家也不例外。至今，这已经减少33%的施工时间和31%对人工劳动力的依赖。MGB位于Nilai的IBS工厂以及在Alam Perdana的移动工厂每年可为多达6,000个住宅单位制造IBS预制混凝土面板。通过IBS, MGB至今已完成了多过12,000 间房屋，目前还有3,000间正在建设中。此外，MGB于今年8月完成并交付了 Idaman BSP (简称太子城梦之家) ，该项目是Rumah Idaman MBI（MBI梦之家）计划下的 1330 个单位。这些已完成并交付的单位是 MGB 致力于在雪兰莪州建造多达 10,000 间可负担房屋承诺的一部分。</w:t>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sz w:val="28"/>
          <w:szCs w:val="28"/>
          <w:rtl w:val="0"/>
        </w:rPr>
        <w:t xml:space="preserve">丹斯里在仪式上表示：“封顶仪式是一个重要的里程碑，象征着建筑结构的完成。我们期待按时完成该项目的开发，并确保将房产顺利交付给各自的业主。随着我们完成每一个 MBI梦之家项目，我们也在向位于巴生谷生活和工作的马来西亚公民提供更多可负担房屋的目标迈进。”</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~完~</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rtl w:val="0"/>
        </w:rPr>
      </w:r>
    </w:p>
    <w:p w:rsidR="00000000" w:rsidDel="00000000" w:rsidP="00000000" w:rsidRDefault="00000000" w:rsidRPr="00000000" w14:paraId="00000010">
      <w:pPr>
        <w:rPr/>
      </w:pPr>
      <w:r w:rsidDel="00000000" w:rsidR="00000000" w:rsidRPr="00000000">
        <w:rPr>
          <w:b w:val="1"/>
          <w:u w:val="single"/>
          <w:rtl w:val="0"/>
        </w:rPr>
        <w:t xml:space="preserve">关于创建集团</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创建集团成立于2007年，已发展成为一家建筑和房地产发展公司，专为马来西亚大众市场和可负担房屋，提供高效和具有成本效益的解决方案。</w:t>
      </w:r>
    </w:p>
    <w:p w:rsidR="00000000" w:rsidDel="00000000" w:rsidP="00000000" w:rsidRDefault="00000000" w:rsidRPr="00000000" w14:paraId="00000012">
      <w:pPr>
        <w:rPr/>
      </w:pPr>
      <w:r w:rsidDel="00000000" w:rsidR="00000000" w:rsidRPr="00000000">
        <w:rPr>
          <w:rtl w:val="0"/>
        </w:rPr>
        <w:t xml:space="preserve">创建集团通过子公司，供应全方位设计、建筑和发展服务，包括设计和建造、项目管理、土木工程、价值工程、岩土专业化以及工业化建筑系统（IBS）预制混凝土构件。</w:t>
      </w:r>
    </w:p>
    <w:p w:rsidR="00000000" w:rsidDel="00000000" w:rsidP="00000000" w:rsidRDefault="00000000" w:rsidRPr="00000000" w14:paraId="00000013">
      <w:pPr>
        <w:rPr/>
      </w:pPr>
      <w:r w:rsidDel="00000000" w:rsidR="00000000" w:rsidRPr="00000000">
        <w:rPr>
          <w:rtl w:val="0"/>
        </w:rPr>
        <w:t xml:space="preserve">创建集团拥有超过15年建筑与设计经验，涉及住宅、商业和工业建筑以及基础设施工程等，拥有骄人业绩。创建集团至今成功建造超过2万9000个房地产，尤其可负担房屋。此外，该集团已使用工业化建筑系统，完成了12,000 间房屋。</w:t>
      </w:r>
    </w:p>
    <w:p w:rsidR="00000000" w:rsidDel="00000000" w:rsidP="00000000" w:rsidRDefault="00000000" w:rsidRPr="00000000" w14:paraId="00000014">
      <w:pPr>
        <w:rPr/>
      </w:pPr>
      <w:r w:rsidDel="00000000" w:rsidR="00000000" w:rsidRPr="00000000">
        <w:rPr>
          <w:rtl w:val="0"/>
        </w:rPr>
        <w:t xml:space="preserve">预知更多信息，可游览</w:t>
      </w:r>
      <w:hyperlink r:id="rId8">
        <w:r w:rsidDel="00000000" w:rsidR="00000000" w:rsidRPr="00000000">
          <w:rPr>
            <w:color w:val="0563c1"/>
            <w:u w:val="single"/>
            <w:rtl w:val="0"/>
          </w:rPr>
          <w:t xml:space="preserve">www.mgbgroup.com.my</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w:t>
      </w:r>
      <w:r w:rsidDel="00000000" w:rsidR="00000000" w:rsidRPr="00000000">
        <w:rPr>
          <w:b w:val="1"/>
          <w:u w:val="single"/>
          <w:rtl w:val="0"/>
        </w:rPr>
        <w:tab/>
        <w:tab/>
        <w:tab/>
        <w:tab/>
        <w:tab/>
        <w:tab/>
        <w:tab/>
        <w:tab/>
        <w:tab/>
        <w:tab/>
        <w:tab/>
        <w:tab/>
      </w: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媒体查询，请联系：</w:t>
      </w: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林木生集团企业通讯、媒体与数码部 </w:t>
        <w:tab/>
        <w:t xml:space="preserve">: </w:t>
      </w:r>
      <w:hyperlink r:id="rId9">
        <w:r w:rsidDel="00000000" w:rsidR="00000000" w:rsidRPr="00000000">
          <w:rPr>
            <w:color w:val="0563c1"/>
            <w:u w:val="single"/>
            <w:rtl w:val="0"/>
          </w:rPr>
          <w:t xml:space="preserve">media@lbs.com.my</w:t>
        </w:r>
      </w:hyperlink>
      <w:r w:rsidDel="00000000" w:rsidR="00000000" w:rsidRPr="00000000">
        <w:rPr>
          <w:rtl w:val="0"/>
        </w:rPr>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Lee Tec Minn</w:t>
        <w:tab/>
        <w:tab/>
        <w:tab/>
        <w:tab/>
        <w:t xml:space="preserve">: </w:t>
      </w:r>
      <w:hyperlink r:id="rId10">
        <w:r w:rsidDel="00000000" w:rsidR="00000000" w:rsidRPr="00000000">
          <w:rPr>
            <w:color w:val="0563c1"/>
            <w:u w:val="single"/>
            <w:rtl w:val="0"/>
          </w:rPr>
          <w:t xml:space="preserve">leetm@mgbgroup.com.my</w:t>
        </w:r>
      </w:hyperlink>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Sandra Tan, Imej Jiwa Sdn Bhd</w:t>
        <w:tab/>
        <w:tab/>
        <w:t xml:space="preserve">: </w:t>
      </w:r>
      <w:hyperlink r:id="rId11">
        <w:r w:rsidDel="00000000" w:rsidR="00000000" w:rsidRPr="00000000">
          <w:rPr>
            <w:color w:val="0563c1"/>
            <w:u w:val="single"/>
            <w:rtl w:val="0"/>
          </w:rPr>
          <w:t xml:space="preserve">sandra@imejjiwa.com</w:t>
        </w:r>
      </w:hyperlink>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Elizabeth Tan, Imej Jiwa Sdn Bhd</w:t>
        <w:tab/>
        <w:t xml:space="preserve">: </w:t>
      </w:r>
      <w:hyperlink r:id="rId12">
        <w:r w:rsidDel="00000000" w:rsidR="00000000" w:rsidRPr="00000000">
          <w:rPr>
            <w:color w:val="0563c1"/>
            <w:u w:val="single"/>
            <w:rtl w:val="0"/>
          </w:rPr>
          <w:t xml:space="preserve">elizabeth@imejjiwa.com</w:t>
        </w:r>
      </w:hyperlink>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rPr>
          <w:sz w:val="40"/>
          <w:szCs w:val="40"/>
          <w:u w:val="singl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M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548BA"/>
    <w:rPr>
      <w:rFonts w:ascii="Times New Roman" w:cs="Times New Roman" w:hAnsi="Times New Roman"/>
      <w:sz w:val="24"/>
      <w:szCs w:val="24"/>
    </w:rPr>
  </w:style>
  <w:style w:type="character" w:styleId="Hyperlink">
    <w:name w:val="Hyperlink"/>
    <w:basedOn w:val="DefaultParagraphFont"/>
    <w:uiPriority w:val="99"/>
    <w:unhideWhenUsed w:val="1"/>
    <w:rsid w:val="00121D81"/>
    <w:rPr>
      <w:color w:val="0563c1" w:themeColor="hyperlink"/>
      <w:u w:val="single"/>
    </w:rPr>
  </w:style>
  <w:style w:type="character" w:styleId="UnresolvedMention">
    <w:name w:val="Unresolved Mention"/>
    <w:basedOn w:val="DefaultParagraphFont"/>
    <w:uiPriority w:val="99"/>
    <w:semiHidden w:val="1"/>
    <w:unhideWhenUsed w:val="1"/>
    <w:rsid w:val="00121D81"/>
    <w:rPr>
      <w:color w:val="605e5c"/>
      <w:shd w:color="auto" w:fill="e1dfdd" w:val="clear"/>
    </w:rPr>
  </w:style>
  <w:style w:type="paragraph" w:styleId="HTMLPreformatted">
    <w:name w:val="HTML Preformatted"/>
    <w:basedOn w:val="Normal"/>
    <w:link w:val="HTMLPreformattedChar"/>
    <w:uiPriority w:val="99"/>
    <w:semiHidden w:val="1"/>
    <w:unhideWhenUsed w:val="1"/>
    <w:rsid w:val="00B630C5"/>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B630C5"/>
    <w:rPr>
      <w:rFonts w:ascii="Consolas" w:hAnsi="Consola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andra@imejjiwa.com" TargetMode="External"/><Relationship Id="rId10" Type="http://schemas.openxmlformats.org/officeDocument/2006/relationships/hyperlink" Target="mailto:leetm@mgbgroup.com.my" TargetMode="External"/><Relationship Id="rId12" Type="http://schemas.openxmlformats.org/officeDocument/2006/relationships/hyperlink" Target="mailto:elizabeth@imejjiwa.com" TargetMode="External"/><Relationship Id="rId9" Type="http://schemas.openxmlformats.org/officeDocument/2006/relationships/hyperlink" Target="mailto:media@lbs.com.m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mgbgroup.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j19BCoaq3wFdlTflqFtA1B4CYA==">CgMxLjA4AHIhMVFXSDZMdEtRdk1kMjJOYmxjai1QLXRFLVVXMWQzUGNw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2024-12-05T09:00:00Z</dcterms:created>
  <dc:creator>Gwen Ch'ng Yen Shuang</dc:creator>
</cp:coreProperties>
</file>